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7101D2">
      <w:pPr>
        <w:spacing w:line="540" w:lineRule="exact"/>
        <w:ind w:firstLine="602" w:firstLineChars="200"/>
        <w:jc w:val="center"/>
        <w:rPr>
          <w:rFonts w:ascii="仿宋_GB2312" w:hAnsi="仿宋_GB2312" w:eastAsia="仿宋_GB2312" w:cs="仿宋_GB2312"/>
          <w:sz w:val="28"/>
          <w:szCs w:val="28"/>
        </w:rPr>
      </w:pPr>
      <w:r>
        <w:rPr>
          <w:rFonts w:hint="eastAsia" w:ascii="仿宋_GB2312" w:hAnsi="宋体" w:eastAsia="仿宋_GB2312"/>
          <w:b/>
          <w:sz w:val="30"/>
          <w:szCs w:val="30"/>
        </w:rPr>
        <w:t>招标询价函</w:t>
      </w:r>
    </w:p>
    <w:p w14:paraId="6E019D52">
      <w:pPr>
        <w:spacing w:line="54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p>
    <w:p w14:paraId="016AA504">
      <w:pPr>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（以下简称：</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）现有</w:t>
      </w:r>
      <w:r>
        <w:rPr>
          <w:rFonts w:hint="eastAsia" w:ascii="仿宋_GB2312" w:hAnsi="仿宋_GB2312" w:eastAsia="仿宋_GB2312" w:cs="仿宋_GB2312"/>
          <w:sz w:val="28"/>
          <w:szCs w:val="28"/>
          <w:u w:val="single"/>
        </w:rPr>
        <w:t>广州市星执学校校舍可靠性及抗震性能鉴定</w:t>
      </w:r>
      <w:r>
        <w:rPr>
          <w:rFonts w:hint="eastAsia" w:ascii="仿宋_GB2312" w:hAnsi="仿宋_GB2312" w:eastAsia="仿宋_GB2312" w:cs="仿宋_GB2312"/>
          <w:sz w:val="28"/>
          <w:szCs w:val="28"/>
        </w:rPr>
        <w:t>项目需选定施工总承包单位，根据《中华人民共和国招标投标法》、番禺区住房和建设局等部门《关于印发&lt;番禺区小额建设工程交易管理工作指引&gt;的通知》（番住建发</w:t>
      </w:r>
      <w:r>
        <w:rPr>
          <w:rFonts w:hint="eastAsia" w:ascii="仿宋_GB2312" w:hAnsi="宋体" w:eastAsia="仿宋_GB2312"/>
          <w:szCs w:val="32"/>
        </w:rPr>
        <w:t>〔</w:t>
      </w:r>
      <w:r>
        <w:rPr>
          <w:rFonts w:hint="eastAsia" w:ascii="仿宋_GB2312" w:hAnsi="仿宋_GB2312" w:eastAsia="仿宋_GB2312" w:cs="仿宋_GB2312"/>
          <w:sz w:val="28"/>
          <w:szCs w:val="28"/>
        </w:rPr>
        <w:t>2019</w:t>
      </w:r>
      <w:r>
        <w:rPr>
          <w:rFonts w:hint="eastAsia" w:ascii="仿宋_GB2312" w:hAnsi="宋体" w:eastAsia="仿宋_GB2312"/>
          <w:szCs w:val="32"/>
        </w:rPr>
        <w:t>〕</w:t>
      </w:r>
      <w:r>
        <w:rPr>
          <w:rFonts w:hint="eastAsia" w:ascii="仿宋_GB2312" w:hAnsi="仿宋_GB2312" w:eastAsia="仿宋_GB2312" w:cs="仿宋_GB2312"/>
          <w:sz w:val="28"/>
          <w:szCs w:val="28"/>
        </w:rPr>
        <w:t>20号）等相关文件规定，拟采用邀请招标的方式，向三家及三家以上具有</w:t>
      </w:r>
      <w:bookmarkStart w:id="0" w:name="OLE_LINK1"/>
      <w:r>
        <w:rPr>
          <w:rFonts w:hint="eastAsia" w:ascii="仿宋_GB2312" w:hAnsi="仿宋_GB2312" w:eastAsia="仿宋_GB2312" w:cs="仿宋_GB2312"/>
          <w:sz w:val="28"/>
          <w:szCs w:val="28"/>
        </w:rPr>
        <w:t>相应资质</w:t>
      </w:r>
      <w:bookmarkEnd w:id="0"/>
      <w:r>
        <w:rPr>
          <w:rFonts w:hint="eastAsia" w:ascii="仿宋_GB2312" w:hAnsi="仿宋_GB2312" w:eastAsia="仿宋_GB2312" w:cs="仿宋_GB2312"/>
          <w:sz w:val="28"/>
          <w:szCs w:val="28"/>
        </w:rPr>
        <w:t>的单位发出书面邀请，通过询价程序依法确定承包人。具体情况如下：</w:t>
      </w:r>
    </w:p>
    <w:p w14:paraId="64159CA5">
      <w:pPr>
        <w:spacing w:line="540" w:lineRule="exact"/>
        <w:ind w:left="2380" w:hanging="2380" w:hangingChars="8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名称：广州市星执学校校舍可靠性及抗震性能鉴定</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w:t>
      </w:r>
    </w:p>
    <w:p w14:paraId="5260563A">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二、招标单位：广州市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01BFE143">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三、招标内容：为了解学校各校舍现时的安全程度及建筑结构现有质量等相关技术参数，以便在日后安全使用及提供准确、科学、及时的技术参考指数，现对该建筑物进行全面检查，并辅以必要的检测，并根据相应检查、检测数据进行分析、验算、承载力复算，以确定学校各校舍的可靠性及抗震性能（</w:t>
      </w:r>
      <w:r>
        <w:rPr>
          <w:rFonts w:hint="eastAsia" w:ascii="仿宋_GB2312" w:hAnsi="仿宋_GB2312" w:eastAsia="仿宋_GB2312" w:cs="仿宋_GB2312"/>
          <w:sz w:val="28"/>
          <w:szCs w:val="28"/>
          <w:lang w:val="en-US" w:eastAsia="zh-CN"/>
        </w:rPr>
        <w:t>具体工作内容</w:t>
      </w:r>
      <w:r>
        <w:rPr>
          <w:rFonts w:hint="eastAsia" w:ascii="仿宋_GB2312" w:hAnsi="仿宋_GB2312" w:eastAsia="仿宋_GB2312" w:cs="仿宋_GB2312"/>
          <w:sz w:val="28"/>
          <w:szCs w:val="28"/>
        </w:rPr>
        <w:t>详见附件二）。</w:t>
      </w:r>
    </w:p>
    <w:p w14:paraId="7B7C7F3A">
      <w:pPr>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地点：广州市番禺区</w:t>
      </w:r>
      <w:r>
        <w:rPr>
          <w:rFonts w:hint="eastAsia" w:ascii="仿宋_GB2312" w:hAnsi="仿宋_GB2312" w:eastAsia="仿宋_GB2312" w:cs="仿宋_GB2312"/>
          <w:sz w:val="28"/>
          <w:szCs w:val="28"/>
          <w:lang w:val="en-US" w:eastAsia="zh-CN"/>
        </w:rPr>
        <w:t>南村镇广州市星执学校内</w:t>
      </w:r>
      <w:r>
        <w:rPr>
          <w:rFonts w:hint="eastAsia" w:ascii="仿宋_GB2312" w:hAnsi="仿宋_GB2312" w:eastAsia="仿宋_GB2312" w:cs="仿宋_GB2312"/>
          <w:sz w:val="28"/>
          <w:szCs w:val="28"/>
        </w:rPr>
        <w:t>。</w:t>
      </w:r>
    </w:p>
    <w:p w14:paraId="2A070E77">
      <w:pPr>
        <w:tabs>
          <w:tab w:val="center" w:pos="4415"/>
        </w:tabs>
        <w:adjustRightInd w:val="0"/>
        <w:snapToGrid w:val="0"/>
        <w:spacing w:line="540" w:lineRule="exact"/>
        <w:ind w:firstLine="56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五、招标控制价：</w:t>
      </w:r>
      <w:r>
        <w:rPr>
          <w:rFonts w:hint="eastAsia" w:ascii="仿宋_GB2312" w:hAnsi="仿宋_GB2312" w:eastAsia="仿宋_GB2312" w:cs="仿宋_GB2312"/>
          <w:sz w:val="28"/>
          <w:szCs w:val="28"/>
          <w:lang w:val="en-US" w:eastAsia="zh-CN"/>
        </w:rPr>
        <w:t>最高上限价</w:t>
      </w:r>
      <w:r>
        <w:rPr>
          <w:rFonts w:hint="eastAsia" w:ascii="仿宋_GB2312" w:hAnsi="仿宋_GB2312" w:eastAsia="仿宋_GB2312" w:cs="仿宋_GB2312"/>
          <w:sz w:val="28"/>
          <w:szCs w:val="28"/>
          <w:u w:val="single"/>
          <w:lang w:val="en-US" w:eastAsia="zh-CN"/>
        </w:rPr>
        <w:t>500000.00</w:t>
      </w:r>
      <w:r>
        <w:rPr>
          <w:rFonts w:hint="eastAsia" w:ascii="仿宋_GB2312" w:hAnsi="仿宋_GB2312" w:eastAsia="仿宋_GB2312" w:cs="仿宋_GB2312"/>
          <w:sz w:val="28"/>
          <w:szCs w:val="28"/>
          <w:lang w:val="en-US" w:eastAsia="zh-CN"/>
        </w:rPr>
        <w:t>元</w:t>
      </w:r>
    </w:p>
    <w:p w14:paraId="6B90D22D">
      <w:pPr>
        <w:tabs>
          <w:tab w:val="center" w:pos="4415"/>
        </w:tabs>
        <w:adjustRightInd w:val="0"/>
        <w:snapToGrid w:val="0"/>
        <w:spacing w:line="54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六、承包方式：包工、包料、包工期、包质量、包安全、包文明施工。综合单价包干、项目措施费包干。</w:t>
      </w:r>
    </w:p>
    <w:p w14:paraId="5E77EB36">
      <w:pPr>
        <w:adjustRightInd w:val="0"/>
        <w:snapToGrid w:val="0"/>
        <w:spacing w:line="5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七、询价确定中标人时间和地点:</w:t>
      </w:r>
    </w:p>
    <w:p w14:paraId="1EB84E9B">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询价确定中标人时间：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rPr>
        <w:t>分。</w:t>
      </w:r>
    </w:p>
    <w:p w14:paraId="4A09995F">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2．地点：广州市</w:t>
      </w:r>
      <w:r>
        <w:rPr>
          <w:rFonts w:hint="eastAsia" w:ascii="仿宋_GB2312" w:hAnsi="仿宋_GB2312" w:eastAsia="仿宋_GB2312" w:cs="仿宋_GB2312"/>
          <w:sz w:val="28"/>
          <w:szCs w:val="28"/>
          <w:lang w:val="en-US" w:eastAsia="zh-CN"/>
        </w:rPr>
        <w:t>星执学校</w:t>
      </w:r>
      <w:r>
        <w:rPr>
          <w:rFonts w:hint="eastAsia" w:ascii="仿宋_GB2312" w:hAnsi="仿宋_GB2312" w:eastAsia="仿宋_GB2312" w:cs="仿宋_GB2312"/>
          <w:sz w:val="28"/>
          <w:szCs w:val="28"/>
        </w:rPr>
        <w:t>。</w:t>
      </w:r>
    </w:p>
    <w:p w14:paraId="40E9B649">
      <w:pPr>
        <w:adjustRightInd w:val="0"/>
        <w:snapToGrid w:val="0"/>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3．投标文件递交时间：</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09</w:t>
      </w:r>
      <w:bookmarkStart w:id="3" w:name="_GoBack"/>
      <w:bookmarkEnd w:id="3"/>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highlight w:val="yellow"/>
          <w:u w:val="single"/>
          <w:lang w:val="en-US" w:eastAsia="zh-CN"/>
        </w:rPr>
        <w:t>10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时</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前。</w:t>
      </w:r>
    </w:p>
    <w:p w14:paraId="60848909">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八、投标单位必须具备以下条件：</w:t>
      </w:r>
    </w:p>
    <w:p w14:paraId="3D18998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1、具独立法人资格，持有工商行政管理部门核发的有效的法人营业执照，按国家法律经营；</w:t>
      </w:r>
    </w:p>
    <w:p w14:paraId="3F74F9B0">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2、具备由国家认证认可监督管理委员会监制， 在中华人民共和国境内有效的检验检测机构资质认定证书，可以向社会出具具有证明作用的数据和结果。 </w:t>
      </w:r>
    </w:p>
    <w:p w14:paraId="76DDF951">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3、具备在市级以上房屋行政主管部门办理房屋使用安全鉴定备案手续（提供相关技术及备案证明文件复印件，并加盖公章）。</w:t>
      </w:r>
    </w:p>
    <w:p w14:paraId="371A126C">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、没有处于被责令停业的状态；</w:t>
      </w:r>
    </w:p>
    <w:p w14:paraId="3FBA9566">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、没有处于被建设行政主管部门取消投标资格的处罚期内；</w:t>
      </w:r>
    </w:p>
    <w:p w14:paraId="27694766">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、没有处于财产被接管、冻结、破产的状态</w:t>
      </w:r>
      <w:r>
        <w:rPr>
          <w:rFonts w:hint="eastAsia" w:ascii="仿宋_GB2312" w:hAnsi="仿宋_GB2312" w:eastAsia="仿宋_GB2312" w:cs="仿宋_GB2312"/>
          <w:sz w:val="28"/>
          <w:szCs w:val="28"/>
          <w:lang w:eastAsia="zh-CN"/>
        </w:rPr>
        <w:t>；</w:t>
      </w:r>
    </w:p>
    <w:p w14:paraId="1CFAA5B3">
      <w:pPr>
        <w:spacing w:line="54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7、本项目不接受联合体投标。</w:t>
      </w:r>
    </w:p>
    <w:p w14:paraId="61C507B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九、我方诚意邀请贵单位参加以上项目的询价活动。若贵单位有意参加，请准备以下投标文件，应包括但不限于：</w:t>
      </w:r>
    </w:p>
    <w:p w14:paraId="1ED57792">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1、报价函（按附件格式）；</w:t>
      </w:r>
    </w:p>
    <w:p w14:paraId="45ABBA5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2、法定代表人身份证明书和法定代表人授权委托书；</w:t>
      </w:r>
    </w:p>
    <w:p w14:paraId="7EE688A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3、企业营业执照复印件；</w:t>
      </w:r>
    </w:p>
    <w:p w14:paraId="4C2DA5B3">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4、企业资质证书复印件；</w:t>
      </w:r>
    </w:p>
    <w:p w14:paraId="5CB1374C">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5、检验检测机构资质认定证书复印件；</w:t>
      </w:r>
    </w:p>
    <w:p w14:paraId="7C7E52DD">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项目负责人相关证书复印件；</w:t>
      </w:r>
    </w:p>
    <w:p w14:paraId="79BAAEA2">
      <w:pPr>
        <w:adjustRightInd w:val="0"/>
        <w:snapToGrid w:val="0"/>
        <w:spacing w:line="54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本项目技术</w:t>
      </w:r>
      <w:r>
        <w:rPr>
          <w:rFonts w:hint="eastAsia" w:ascii="仿宋_GB2312" w:hAnsi="仿宋_GB2312" w:eastAsia="仿宋_GB2312" w:cs="仿宋_GB2312"/>
          <w:sz w:val="28"/>
          <w:szCs w:val="28"/>
        </w:rPr>
        <w:t>人员相关证书复印件；</w:t>
      </w:r>
    </w:p>
    <w:p w14:paraId="2B64215A">
      <w:pPr>
        <w:adjustRightInd w:val="0"/>
        <w:snapToGrid w:val="0"/>
        <w:spacing w:line="540" w:lineRule="exact"/>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8、鉴定组织计划方案</w:t>
      </w:r>
    </w:p>
    <w:p w14:paraId="7DB16DA4">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、其它辅助说明资料（如有）。</w:t>
      </w:r>
    </w:p>
    <w:p w14:paraId="616AC8C1">
      <w:pPr>
        <w:adjustRightInd w:val="0"/>
        <w:snapToGrid w:val="0"/>
        <w:spacing w:line="5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以上投标文件一式一份，每页均盖公章并装订成册，用文件袋密封。</w:t>
      </w:r>
    </w:p>
    <w:p w14:paraId="45434F10">
      <w:pPr>
        <w:adjustRightInd w:val="0"/>
        <w:snapToGrid w:val="0"/>
        <w:spacing w:line="540" w:lineRule="exact"/>
        <w:ind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十、本项目不需要投标报名，由招标人书面邀请不少于3家符合资质要求的单位，采用询价方式，以投标报价由低到高的顺序（最低价者为第一中标候选人）选取1名中标候选人。</w:t>
      </w:r>
    </w:p>
    <w:p w14:paraId="48E6C69A">
      <w:pPr>
        <w:spacing w:line="540" w:lineRule="exact"/>
        <w:ind w:firstLine="560" w:firstLineChars="200"/>
        <w:rPr>
          <w:rFonts w:hint="eastAsia" w:ascii="仿宋_GB2312" w:hAnsi="仿宋_GB2312" w:eastAsia="仿宋_GB2312" w:cs="仿宋_GB2312"/>
          <w:sz w:val="28"/>
          <w:szCs w:val="28"/>
        </w:rPr>
      </w:pPr>
    </w:p>
    <w:p w14:paraId="3427D421">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附件一：报价函</w:t>
      </w:r>
    </w:p>
    <w:p w14:paraId="4219ACA8">
      <w:pPr>
        <w:spacing w:line="54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r>
        <w:rPr>
          <w:rFonts w:hint="eastAsia" w:ascii="仿宋_GB2312" w:hAnsi="仿宋_GB2312" w:eastAsia="仿宋_GB2312" w:cs="仿宋_GB2312"/>
          <w:sz w:val="28"/>
          <w:szCs w:val="28"/>
          <w:lang w:val="en-US" w:eastAsia="zh-CN"/>
        </w:rPr>
        <w:t>广</w:t>
      </w:r>
      <w:r>
        <w:rPr>
          <w:rFonts w:hint="eastAsia" w:ascii="仿宋_GB2312" w:hAnsi="仿宋_GB2312" w:eastAsia="仿宋_GB2312" w:cs="仿宋_GB2312"/>
          <w:sz w:val="28"/>
          <w:szCs w:val="28"/>
        </w:rPr>
        <w:t>州市星执学校校舍可靠性及抗震性能鉴定</w:t>
      </w:r>
      <w:r>
        <w:rPr>
          <w:rFonts w:hint="eastAsia" w:ascii="仿宋_GB2312" w:hAnsi="仿宋_GB2312" w:eastAsia="仿宋_GB2312" w:cs="仿宋_GB2312"/>
          <w:sz w:val="28"/>
          <w:szCs w:val="28"/>
          <w:lang w:val="en-US" w:eastAsia="zh-CN"/>
        </w:rPr>
        <w:t>项目</w:t>
      </w:r>
    </w:p>
    <w:p w14:paraId="4883DF0E">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招标人：广州市</w:t>
      </w:r>
      <w:r>
        <w:rPr>
          <w:rFonts w:hint="eastAsia" w:ascii="仿宋_GB2312" w:hAnsi="仿宋_GB2312" w:eastAsia="仿宋_GB2312" w:cs="仿宋_GB2312"/>
          <w:sz w:val="28"/>
          <w:szCs w:val="28"/>
          <w:lang w:val="en-US" w:eastAsia="zh-CN"/>
        </w:rPr>
        <w:t>星执学校</w:t>
      </w:r>
    </w:p>
    <w:p w14:paraId="437636E1">
      <w:pPr>
        <w:spacing w:line="5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 xml:space="preserve">候再越 </w:t>
      </w:r>
    </w:p>
    <w:p w14:paraId="71312342">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r>
        <w:rPr>
          <w:rFonts w:hint="eastAsia" w:ascii="仿宋_GB2312" w:hAnsi="仿宋_GB2312" w:eastAsia="仿宋_GB2312" w:cs="仿宋_GB2312"/>
          <w:sz w:val="28"/>
          <w:szCs w:val="28"/>
          <w:lang w:val="en-US" w:eastAsia="zh-CN"/>
        </w:rPr>
        <w:t>13570403107</w:t>
      </w:r>
    </w:p>
    <w:p w14:paraId="2DA79CFA">
      <w:pPr>
        <w:spacing w:line="540" w:lineRule="exact"/>
        <w:ind w:right="560" w:firstLine="7840" w:firstLineChars="28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highlight w:val="yellow"/>
          <w:lang w:val="en-US" w:eastAsia="zh-CN"/>
        </w:rPr>
        <w:t>25</w:t>
      </w:r>
      <w:r>
        <w:rPr>
          <w:rFonts w:hint="eastAsia" w:ascii="仿宋_GB2312" w:hAnsi="仿宋_GB2312" w:eastAsia="仿宋_GB2312" w:cs="仿宋_GB2312"/>
          <w:sz w:val="28"/>
          <w:szCs w:val="28"/>
        </w:rPr>
        <w:t>日</w:t>
      </w:r>
    </w:p>
    <w:p w14:paraId="5D41F57A">
      <w:pPr>
        <w:spacing w:line="380" w:lineRule="exact"/>
        <w:rPr>
          <w:rFonts w:ascii="仿宋_GB2312" w:hAnsi="宋体" w:eastAsia="仿宋_GB2312"/>
          <w:sz w:val="28"/>
          <w:szCs w:val="28"/>
        </w:rPr>
      </w:pPr>
    </w:p>
    <w:p w14:paraId="0B70C1B7">
      <w:pPr>
        <w:spacing w:line="380" w:lineRule="exact"/>
        <w:rPr>
          <w:rFonts w:ascii="仿宋_GB2312" w:hAnsi="宋体" w:eastAsia="仿宋_GB2312"/>
          <w:sz w:val="28"/>
          <w:szCs w:val="28"/>
        </w:rPr>
      </w:pPr>
    </w:p>
    <w:p w14:paraId="026CCD5C">
      <w:pPr>
        <w:spacing w:line="380" w:lineRule="exact"/>
        <w:rPr>
          <w:rFonts w:ascii="仿宋_GB2312" w:hAnsi="宋体" w:eastAsia="仿宋_GB2312"/>
          <w:sz w:val="28"/>
          <w:szCs w:val="28"/>
        </w:rPr>
      </w:pPr>
    </w:p>
    <w:p w14:paraId="46182120">
      <w:pPr>
        <w:spacing w:line="380" w:lineRule="exact"/>
        <w:rPr>
          <w:rFonts w:ascii="仿宋_GB2312" w:hAnsi="宋体" w:eastAsia="仿宋_GB2312"/>
          <w:sz w:val="28"/>
          <w:szCs w:val="28"/>
        </w:rPr>
      </w:pPr>
    </w:p>
    <w:p w14:paraId="645451FA">
      <w:pPr>
        <w:spacing w:line="380" w:lineRule="exact"/>
        <w:rPr>
          <w:rFonts w:ascii="仿宋_GB2312" w:hAnsi="宋体" w:eastAsia="仿宋_GB2312"/>
          <w:sz w:val="28"/>
          <w:szCs w:val="28"/>
        </w:rPr>
      </w:pPr>
    </w:p>
    <w:p w14:paraId="7C8EDC23">
      <w:pPr>
        <w:spacing w:line="380" w:lineRule="exact"/>
        <w:rPr>
          <w:rFonts w:ascii="仿宋_GB2312" w:hAnsi="宋体" w:eastAsia="仿宋_GB2312"/>
          <w:sz w:val="28"/>
          <w:szCs w:val="28"/>
        </w:rPr>
      </w:pPr>
    </w:p>
    <w:p w14:paraId="15C7166C">
      <w:pPr>
        <w:spacing w:line="380" w:lineRule="exact"/>
        <w:rPr>
          <w:rFonts w:ascii="仿宋_GB2312" w:hAnsi="宋体" w:eastAsia="仿宋_GB2312"/>
          <w:sz w:val="28"/>
          <w:szCs w:val="28"/>
        </w:rPr>
      </w:pPr>
    </w:p>
    <w:p w14:paraId="12AC30DC">
      <w:pPr>
        <w:spacing w:line="380" w:lineRule="exact"/>
        <w:rPr>
          <w:rFonts w:ascii="仿宋_GB2312" w:hAnsi="宋体" w:eastAsia="仿宋_GB2312"/>
          <w:sz w:val="28"/>
          <w:szCs w:val="28"/>
        </w:rPr>
      </w:pPr>
    </w:p>
    <w:p w14:paraId="12B0FC63">
      <w:pPr>
        <w:spacing w:line="380" w:lineRule="exact"/>
        <w:rPr>
          <w:rFonts w:ascii="仿宋_GB2312" w:hAnsi="宋体" w:eastAsia="仿宋_GB2312"/>
          <w:sz w:val="28"/>
          <w:szCs w:val="28"/>
        </w:rPr>
      </w:pPr>
    </w:p>
    <w:p w14:paraId="7CBA2A0E">
      <w:pPr>
        <w:spacing w:line="380" w:lineRule="exact"/>
        <w:rPr>
          <w:rFonts w:ascii="仿宋_GB2312" w:hAnsi="宋体" w:eastAsia="仿宋_GB2312"/>
          <w:sz w:val="28"/>
          <w:szCs w:val="28"/>
        </w:rPr>
      </w:pPr>
      <w:r>
        <w:rPr>
          <w:rFonts w:hint="eastAsia" w:ascii="仿宋_GB2312" w:hAnsi="宋体" w:eastAsia="仿宋_GB2312"/>
          <w:sz w:val="28"/>
          <w:szCs w:val="28"/>
        </w:rPr>
        <w:t>附件一</w:t>
      </w:r>
    </w:p>
    <w:p w14:paraId="5B672DD0">
      <w:pPr>
        <w:spacing w:line="380" w:lineRule="exact"/>
        <w:jc w:val="center"/>
        <w:rPr>
          <w:rFonts w:ascii="仿宋_GB2312" w:hAnsi="宋体" w:eastAsia="仿宋_GB2312"/>
          <w:b/>
          <w:sz w:val="28"/>
          <w:szCs w:val="28"/>
        </w:rPr>
      </w:pPr>
      <w:r>
        <w:rPr>
          <w:rFonts w:hint="eastAsia" w:ascii="仿宋_GB2312" w:hAnsi="宋体" w:eastAsia="仿宋_GB2312"/>
          <w:b/>
          <w:sz w:val="28"/>
          <w:szCs w:val="28"/>
        </w:rPr>
        <w:t>报价函</w:t>
      </w:r>
    </w:p>
    <w:p w14:paraId="4FA80BFC">
      <w:pPr>
        <w:spacing w:line="380" w:lineRule="exact"/>
        <w:ind w:firstLine="560" w:firstLineChars="200"/>
        <w:rPr>
          <w:rFonts w:ascii="仿宋_GB2312" w:hAnsi="宋体" w:eastAsia="仿宋_GB2312"/>
          <w:sz w:val="28"/>
          <w:szCs w:val="28"/>
        </w:rPr>
      </w:pPr>
    </w:p>
    <w:p w14:paraId="0548EED3">
      <w:pPr>
        <w:spacing w:line="520" w:lineRule="exact"/>
        <w:rPr>
          <w:rFonts w:hint="eastAsia" w:ascii="仿宋_GB2312" w:hAnsi="宋体" w:eastAsia="仿宋_GB2312"/>
          <w:sz w:val="28"/>
          <w:szCs w:val="28"/>
          <w:lang w:eastAsia="zh-CN"/>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广州市</w:t>
      </w:r>
      <w:r>
        <w:rPr>
          <w:rFonts w:hint="eastAsia" w:ascii="仿宋_GB2312" w:hAnsi="宋体" w:eastAsia="仿宋_GB2312"/>
          <w:sz w:val="28"/>
          <w:szCs w:val="28"/>
          <w:u w:val="single"/>
          <w:lang w:val="en-US" w:eastAsia="zh-CN"/>
        </w:rPr>
        <w:t>星执学校</w:t>
      </w:r>
    </w:p>
    <w:p w14:paraId="62439BEB">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经分析研究贵方提供的</w:t>
      </w:r>
      <w:r>
        <w:rPr>
          <w:rFonts w:hint="eastAsia" w:ascii="仿宋_GB2312" w:hAnsi="宋体" w:eastAsia="仿宋_GB2312"/>
          <w:sz w:val="28"/>
          <w:szCs w:val="28"/>
          <w:u w:val="single"/>
          <w:lang w:val="en-US" w:eastAsia="zh-CN"/>
        </w:rPr>
        <w:t>xxxxxxxxxxxxxxxx</w:t>
      </w:r>
      <w:r>
        <w:rPr>
          <w:rFonts w:hint="eastAsia" w:ascii="仿宋_GB2312" w:hAnsi="宋体" w:eastAsia="仿宋_GB2312"/>
          <w:sz w:val="28"/>
          <w:szCs w:val="28"/>
        </w:rPr>
        <w:t>项目询价邀请函及考察现场的实际情况，我公司对本项目报价如下：</w:t>
      </w:r>
    </w:p>
    <w:p w14:paraId="078BB13D">
      <w:pPr>
        <w:spacing w:line="52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不</w:t>
      </w:r>
      <w:r>
        <w:rPr>
          <w:rFonts w:hint="eastAsia" w:ascii="仿宋_GB2312" w:hAnsi="仿宋_GB2312" w:eastAsia="仿宋_GB2312" w:cs="仿宋_GB2312"/>
          <w:sz w:val="28"/>
          <w:szCs w:val="28"/>
        </w:rPr>
        <w:t>含税</w:t>
      </w:r>
      <w:r>
        <w:rPr>
          <w:rFonts w:hint="eastAsia" w:ascii="仿宋_GB2312" w:hAnsi="宋体" w:eastAsia="仿宋_GB2312"/>
          <w:sz w:val="28"/>
          <w:szCs w:val="28"/>
          <w:lang w:val="en-US" w:eastAsia="zh-CN"/>
        </w:rPr>
        <w:t>综合单价</w:t>
      </w:r>
      <w:r>
        <w:rPr>
          <w:rFonts w:hint="eastAsia" w:ascii="仿宋_GB2312" w:hAnsi="宋体" w:eastAsia="仿宋_GB2312"/>
          <w:sz w:val="28"/>
          <w:szCs w:val="28"/>
        </w:rPr>
        <w:t>：</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含税综合单价</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暂定鉴定面积83757.00㎡</w:t>
      </w:r>
      <w:r>
        <w:rPr>
          <w:rFonts w:hint="eastAsia" w:ascii="仿宋_GB2312" w:hAnsi="宋体" w:eastAsia="仿宋_GB2312"/>
          <w:sz w:val="28"/>
          <w:szCs w:val="28"/>
          <w:lang w:eastAsia="zh-CN"/>
        </w:rPr>
        <w:t>）；</w:t>
      </w:r>
    </w:p>
    <w:p w14:paraId="038B6C0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2、如果贵方接受我方中标，我方将按要求组建专业队伍和实施有效方案完成全部招标方委托的工作。</w:t>
      </w:r>
    </w:p>
    <w:p w14:paraId="2568218C">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3、在正式签订合作合同之前，我方响应询价邀请函及协议附件全部内容，本报价函将成为约束双方的合同文件之一。</w:t>
      </w:r>
    </w:p>
    <w:p w14:paraId="666AC5FF">
      <w:pPr>
        <w:spacing w:line="520" w:lineRule="exact"/>
        <w:rPr>
          <w:rFonts w:ascii="仿宋_GB2312" w:hAnsi="宋体" w:eastAsia="仿宋_GB2312"/>
          <w:sz w:val="28"/>
          <w:szCs w:val="28"/>
        </w:rPr>
      </w:pPr>
    </w:p>
    <w:p w14:paraId="042547D2">
      <w:pPr>
        <w:spacing w:line="520" w:lineRule="exact"/>
        <w:rPr>
          <w:rFonts w:ascii="仿宋_GB2312" w:hAnsi="宋体" w:eastAsia="仿宋_GB2312"/>
          <w:sz w:val="28"/>
          <w:szCs w:val="28"/>
        </w:rPr>
      </w:pPr>
    </w:p>
    <w:p w14:paraId="6FFDB2F9">
      <w:pPr>
        <w:spacing w:line="520" w:lineRule="exact"/>
        <w:rPr>
          <w:rFonts w:ascii="仿宋_GB2312" w:hAnsi="宋体" w:eastAsia="仿宋_GB2312"/>
          <w:sz w:val="28"/>
          <w:szCs w:val="28"/>
        </w:rPr>
      </w:pPr>
      <w:r>
        <w:rPr>
          <w:rFonts w:hint="eastAsia" w:ascii="仿宋_GB2312" w:hAnsi="宋体" w:eastAsia="仿宋_GB2312"/>
          <w:sz w:val="28"/>
          <w:szCs w:val="28"/>
        </w:rPr>
        <w:t>报价单位：（盖章）</w:t>
      </w:r>
    </w:p>
    <w:p w14:paraId="6B84F818">
      <w:pPr>
        <w:spacing w:line="520" w:lineRule="exact"/>
        <w:rPr>
          <w:rFonts w:ascii="仿宋_GB2312" w:hAnsi="宋体" w:eastAsia="仿宋_GB2312"/>
          <w:color w:val="FF0000"/>
          <w:sz w:val="28"/>
          <w:szCs w:val="28"/>
        </w:rPr>
      </w:pPr>
    </w:p>
    <w:p w14:paraId="59BAF355">
      <w:pPr>
        <w:spacing w:line="520" w:lineRule="exact"/>
        <w:rPr>
          <w:rFonts w:ascii="仿宋_GB2312" w:hAnsi="宋体" w:eastAsia="仿宋_GB2312"/>
          <w:sz w:val="28"/>
          <w:szCs w:val="28"/>
        </w:rPr>
      </w:pPr>
    </w:p>
    <w:p w14:paraId="292738F6">
      <w:pPr>
        <w:spacing w:line="520" w:lineRule="exact"/>
        <w:rPr>
          <w:rFonts w:ascii="仿宋_GB2312" w:hAnsi="宋体" w:eastAsia="仿宋_GB2312"/>
          <w:sz w:val="28"/>
          <w:szCs w:val="28"/>
        </w:rPr>
      </w:pPr>
      <w:r>
        <w:rPr>
          <w:rFonts w:hint="eastAsia" w:ascii="仿宋_GB2312" w:hAnsi="宋体" w:eastAsia="仿宋_GB2312"/>
          <w:sz w:val="28"/>
          <w:szCs w:val="28"/>
        </w:rPr>
        <w:t>法定代表人或授权委托人：（签字或盖章）</w:t>
      </w:r>
    </w:p>
    <w:p w14:paraId="5D0E988C">
      <w:pPr>
        <w:spacing w:line="520" w:lineRule="exact"/>
        <w:rPr>
          <w:rFonts w:ascii="仿宋_GB2312" w:hAnsi="宋体" w:eastAsia="仿宋_GB2312"/>
          <w:sz w:val="28"/>
          <w:szCs w:val="28"/>
        </w:rPr>
      </w:pPr>
    </w:p>
    <w:p w14:paraId="1738DE33">
      <w:pPr>
        <w:spacing w:line="520" w:lineRule="exact"/>
        <w:rPr>
          <w:rFonts w:ascii="仿宋_GB2312" w:hAnsi="宋体" w:eastAsia="仿宋_GB2312"/>
          <w:sz w:val="28"/>
          <w:szCs w:val="28"/>
        </w:rPr>
      </w:pPr>
    </w:p>
    <w:p w14:paraId="53148F61">
      <w:pPr>
        <w:spacing w:line="520" w:lineRule="exact"/>
        <w:rPr>
          <w:rFonts w:ascii="仿宋_GB2312" w:hAnsi="宋体" w:eastAsia="仿宋_GB2312"/>
          <w:sz w:val="28"/>
          <w:szCs w:val="28"/>
        </w:rPr>
      </w:pPr>
    </w:p>
    <w:p w14:paraId="2987F0EC">
      <w:pPr>
        <w:spacing w:line="520" w:lineRule="exact"/>
        <w:rPr>
          <w:rFonts w:ascii="仿宋_GB2312" w:hAnsi="宋体" w:eastAsia="仿宋_GB2312"/>
          <w:sz w:val="28"/>
          <w:szCs w:val="28"/>
        </w:rPr>
      </w:pPr>
      <w:r>
        <w:rPr>
          <w:rFonts w:hint="eastAsia" w:ascii="仿宋_GB2312" w:hAnsi="宋体" w:eastAsia="仿宋_GB2312"/>
          <w:sz w:val="28"/>
          <w:szCs w:val="28"/>
        </w:rPr>
        <w:t>日期：    年   月   日</w:t>
      </w:r>
    </w:p>
    <w:p w14:paraId="4F243E9A">
      <w:pPr>
        <w:spacing w:line="360" w:lineRule="auto"/>
        <w:jc w:val="both"/>
        <w:rPr>
          <w:rFonts w:hint="eastAsia" w:ascii="方正小标宋简体" w:hAnsi="黑体" w:eastAsia="方正小标宋简体" w:cs="仿宋_GB2312"/>
          <w:sz w:val="28"/>
          <w:szCs w:val="28"/>
          <w:lang w:eastAsia="zh-CN"/>
        </w:rPr>
      </w:pPr>
    </w:p>
    <w:p w14:paraId="6731E587">
      <w:pPr>
        <w:tabs>
          <w:tab w:val="left" w:pos="851"/>
        </w:tabs>
        <w:autoSpaceDE w:val="0"/>
        <w:autoSpaceDN w:val="0"/>
        <w:adjustRightInd w:val="0"/>
        <w:snapToGrid w:val="0"/>
        <w:jc w:val="left"/>
        <w:outlineLvl w:val="2"/>
        <w:rPr>
          <w:rFonts w:hint="eastAsia" w:ascii="仿宋" w:hAnsi="仿宋" w:eastAsia="仿宋" w:cs="仿宋"/>
          <w:b w:val="0"/>
          <w:bCs w:val="0"/>
          <w:sz w:val="28"/>
          <w:szCs w:val="28"/>
        </w:rPr>
      </w:pPr>
      <w:bookmarkStart w:id="1" w:name="_Toc25675"/>
      <w:r>
        <w:rPr>
          <w:rFonts w:hint="eastAsia" w:ascii="仿宋" w:hAnsi="仿宋" w:eastAsia="仿宋" w:cs="仿宋"/>
          <w:b w:val="0"/>
          <w:bCs w:val="0"/>
          <w:sz w:val="28"/>
          <w:szCs w:val="28"/>
        </w:rPr>
        <w:t>附件二：</w:t>
      </w:r>
      <w:r>
        <w:rPr>
          <w:rFonts w:hint="eastAsia" w:ascii="仿宋" w:hAnsi="仿宋" w:eastAsia="仿宋" w:cs="仿宋"/>
          <w:b w:val="0"/>
          <w:bCs w:val="0"/>
          <w:sz w:val="28"/>
          <w:szCs w:val="28"/>
          <w:lang w:val="en-US" w:eastAsia="zh-CN"/>
        </w:rPr>
        <w:t>广</w:t>
      </w:r>
      <w:r>
        <w:rPr>
          <w:rFonts w:hint="eastAsia" w:ascii="仿宋" w:hAnsi="仿宋" w:eastAsia="仿宋" w:cs="仿宋"/>
          <w:b w:val="0"/>
          <w:bCs w:val="0"/>
          <w:sz w:val="28"/>
          <w:szCs w:val="28"/>
        </w:rPr>
        <w:t>州市星执学校校舍可靠性及抗震性能鉴定</w:t>
      </w:r>
      <w:r>
        <w:rPr>
          <w:rFonts w:hint="eastAsia" w:ascii="仿宋" w:hAnsi="仿宋" w:eastAsia="仿宋" w:cs="仿宋"/>
          <w:b w:val="0"/>
          <w:bCs w:val="0"/>
          <w:sz w:val="28"/>
          <w:szCs w:val="28"/>
          <w:lang w:val="en-US" w:eastAsia="zh-CN"/>
        </w:rPr>
        <w:t>项目</w:t>
      </w:r>
      <w:r>
        <w:rPr>
          <w:rFonts w:hint="eastAsia" w:ascii="仿宋" w:hAnsi="仿宋" w:eastAsia="仿宋" w:cs="仿宋"/>
          <w:b w:val="0"/>
          <w:bCs w:val="0"/>
          <w:sz w:val="28"/>
          <w:szCs w:val="28"/>
        </w:rPr>
        <w:t>服务内容</w:t>
      </w:r>
      <w:bookmarkEnd w:id="1"/>
    </w:p>
    <w:p w14:paraId="55B36C83">
      <w:pPr>
        <w:tabs>
          <w:tab w:val="left" w:pos="851"/>
        </w:tabs>
        <w:autoSpaceDE w:val="0"/>
        <w:autoSpaceDN w:val="0"/>
        <w:adjustRightInd w:val="0"/>
        <w:snapToGrid w:val="0"/>
        <w:outlineLvl w:val="2"/>
        <w:rPr>
          <w:rFonts w:hint="eastAsia" w:ascii="仿宋" w:hAnsi="仿宋" w:eastAsia="仿宋" w:cs="仿宋"/>
          <w:b w:val="0"/>
          <w:bCs w:val="0"/>
          <w:sz w:val="28"/>
          <w:szCs w:val="28"/>
        </w:rPr>
      </w:pPr>
    </w:p>
    <w:p w14:paraId="22FEEFD4">
      <w:pPr>
        <w:jc w:val="center"/>
        <w:rPr>
          <w:rFonts w:ascii="宋体" w:hAnsi="宋体"/>
          <w:b/>
          <w:color w:val="000000" w:themeColor="text1"/>
          <w:kern w:val="28"/>
          <w:sz w:val="44"/>
          <w:szCs w:val="36"/>
          <w14:textFill>
            <w14:solidFill>
              <w14:schemeClr w14:val="tx1"/>
            </w14:solidFill>
          </w14:textFill>
        </w:rPr>
      </w:pPr>
    </w:p>
    <w:tbl>
      <w:tblPr>
        <w:tblStyle w:val="9"/>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7192"/>
      </w:tblGrid>
      <w:tr w14:paraId="7F1E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5" w:type="dxa"/>
            <w:vAlign w:val="center"/>
          </w:tcPr>
          <w:p w14:paraId="7A7BABB6">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项目名称</w:t>
            </w:r>
          </w:p>
        </w:tc>
        <w:tc>
          <w:tcPr>
            <w:tcW w:w="7192" w:type="dxa"/>
            <w:vAlign w:val="center"/>
          </w:tcPr>
          <w:p w14:paraId="3B41256D">
            <w:pPr>
              <w:spacing w:line="44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广州市星执学校校舍可靠性及抗震性能项目</w:t>
            </w:r>
          </w:p>
        </w:tc>
      </w:tr>
      <w:tr w14:paraId="32FD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5" w:type="dxa"/>
            <w:vAlign w:val="center"/>
          </w:tcPr>
          <w:p w14:paraId="4D311226">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预算金额</w:t>
            </w:r>
          </w:p>
        </w:tc>
        <w:tc>
          <w:tcPr>
            <w:tcW w:w="7192" w:type="dxa"/>
            <w:vAlign w:val="center"/>
          </w:tcPr>
          <w:p w14:paraId="5E190976">
            <w:pPr>
              <w:spacing w:line="440" w:lineRule="exact"/>
              <w:jc w:val="center"/>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最高上限价为500000.00元</w:t>
            </w:r>
          </w:p>
        </w:tc>
      </w:tr>
      <w:tr w14:paraId="6117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15" w:type="dxa"/>
            <w:vAlign w:val="center"/>
          </w:tcPr>
          <w:p w14:paraId="0E9D1478">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7192" w:type="dxa"/>
            <w:vAlign w:val="center"/>
          </w:tcPr>
          <w:p w14:paraId="5C33FC35">
            <w:pPr>
              <w:spacing w:line="44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highlight w:val="yellow"/>
                <w:lang w:val="en-US" w:eastAsia="zh-CN"/>
                <w14:textFill>
                  <w14:solidFill>
                    <w14:schemeClr w14:val="tx1"/>
                  </w14:solidFill>
                </w14:textFill>
              </w:rPr>
              <w:t>暂定面积83757.00㎡</w:t>
            </w:r>
          </w:p>
        </w:tc>
      </w:tr>
      <w:tr w14:paraId="5DB6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15" w:type="dxa"/>
            <w:vAlign w:val="center"/>
          </w:tcPr>
          <w:p w14:paraId="3B0D801C">
            <w:pPr>
              <w:spacing w:line="44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采购要求</w:t>
            </w:r>
          </w:p>
        </w:tc>
        <w:tc>
          <w:tcPr>
            <w:tcW w:w="7192" w:type="dxa"/>
          </w:tcPr>
          <w:p w14:paraId="182EC825">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（简单说明：产品用途、功能要求、配置要求、保修服务或特殊场地使用等情形）</w:t>
            </w:r>
          </w:p>
          <w:p w14:paraId="3F69502F">
            <w:pPr>
              <w:pStyle w:val="7"/>
              <w:shd w:val="clear" w:color="auto" w:fill="FFFFFF"/>
              <w:spacing w:before="0" w:beforeAutospacing="0" w:after="0" w:afterAutospacing="0"/>
              <w:rPr>
                <w:rFonts w:hint="eastAsia" w:ascii="仿宋" w:hAnsi="仿宋" w:eastAsia="仿宋" w:cs="仿宋"/>
                <w:b/>
                <w:bCs/>
                <w:sz w:val="24"/>
                <w:szCs w:val="24"/>
                <w:lang w:val="zh-CN"/>
              </w:rPr>
            </w:pPr>
            <w:r>
              <w:rPr>
                <w:rFonts w:hint="eastAsia" w:ascii="仿宋" w:hAnsi="仿宋" w:eastAsia="仿宋" w:cs="仿宋"/>
                <w:b/>
                <w:kern w:val="2"/>
                <w:sz w:val="24"/>
                <w:szCs w:val="24"/>
                <w:lang w:val="zh-CN"/>
              </w:rPr>
              <w:t>一、项目概况</w:t>
            </w:r>
            <w:r>
              <w:rPr>
                <w:rFonts w:hint="eastAsia" w:ascii="仿宋" w:hAnsi="仿宋" w:eastAsia="仿宋" w:cs="仿宋"/>
                <w:b/>
                <w:bCs/>
                <w:sz w:val="24"/>
                <w:szCs w:val="24"/>
                <w:lang w:val="zh-CN"/>
              </w:rPr>
              <w:t>：</w:t>
            </w:r>
          </w:p>
          <w:p w14:paraId="04F0F59A">
            <w:pPr>
              <w:pStyle w:val="7"/>
              <w:shd w:val="clear" w:color="auto" w:fill="FFFFFF"/>
              <w:spacing w:before="0" w:beforeAutospacing="0" w:after="0" w:afterAutospacing="0"/>
              <w:ind w:firstLine="480" w:firstLineChars="200"/>
              <w:rPr>
                <w:rFonts w:hint="eastAsia" w:ascii="仿宋" w:hAnsi="仿宋" w:eastAsia="仿宋" w:cs="仿宋"/>
                <w:sz w:val="24"/>
                <w:szCs w:val="24"/>
                <w:highlight w:val="yellow"/>
                <w:shd w:val="clear" w:color="auto" w:fill="FFFFFF"/>
              </w:rPr>
            </w:pPr>
            <w:r>
              <w:rPr>
                <w:rFonts w:hint="eastAsia" w:ascii="仿宋" w:hAnsi="仿宋" w:eastAsia="仿宋" w:cs="仿宋"/>
                <w:sz w:val="24"/>
                <w:szCs w:val="24"/>
                <w:highlight w:val="yellow"/>
                <w:shd w:val="clear" w:color="auto" w:fill="FFFFFF"/>
              </w:rPr>
              <w:t>项目位于广州市番禺区南村镇番禺大道北1号</w:t>
            </w:r>
            <w:r>
              <w:rPr>
                <w:rFonts w:hint="eastAsia" w:ascii="仿宋" w:hAnsi="仿宋" w:eastAsia="仿宋" w:cs="仿宋"/>
                <w:sz w:val="24"/>
                <w:szCs w:val="24"/>
                <w:highlight w:val="yellow"/>
                <w:shd w:val="clear" w:color="auto" w:fill="FFFFFF"/>
                <w:lang w:eastAsia="zh-CN"/>
              </w:rPr>
              <w:t>，</w:t>
            </w:r>
            <w:r>
              <w:rPr>
                <w:rFonts w:hint="eastAsia" w:ascii="仿宋" w:hAnsi="仿宋" w:eastAsia="仿宋" w:cs="仿宋"/>
                <w:sz w:val="24"/>
                <w:szCs w:val="24"/>
                <w:highlight w:val="yellow"/>
                <w:lang w:val="zh-CN"/>
              </w:rPr>
              <w:t>广州市星执学校</w:t>
            </w:r>
            <w:r>
              <w:rPr>
                <w:rFonts w:hint="eastAsia" w:ascii="仿宋" w:hAnsi="仿宋" w:eastAsia="仿宋" w:cs="仿宋"/>
                <w:sz w:val="24"/>
                <w:szCs w:val="24"/>
                <w:highlight w:val="yellow"/>
                <w:lang w:val="en-US" w:eastAsia="zh-CN"/>
              </w:rPr>
              <w:t>校舍共有11栋</w:t>
            </w:r>
            <w:r>
              <w:rPr>
                <w:rFonts w:hint="eastAsia" w:ascii="仿宋" w:hAnsi="仿宋" w:eastAsia="仿宋" w:cs="仿宋"/>
                <w:sz w:val="24"/>
                <w:szCs w:val="24"/>
                <w:highlight w:val="yellow"/>
                <w:lang w:val="zh-CN"/>
              </w:rPr>
              <w:t>建筑物，建筑面积</w:t>
            </w:r>
            <w:r>
              <w:rPr>
                <w:rFonts w:hint="eastAsia" w:ascii="仿宋" w:hAnsi="仿宋" w:eastAsia="仿宋" w:cs="仿宋"/>
                <w:sz w:val="24"/>
                <w:szCs w:val="24"/>
                <w:highlight w:val="yellow"/>
              </w:rPr>
              <w:t>总</w:t>
            </w:r>
            <w:r>
              <w:rPr>
                <w:rFonts w:hint="eastAsia" w:ascii="仿宋" w:hAnsi="仿宋" w:eastAsia="仿宋" w:cs="仿宋"/>
                <w:sz w:val="24"/>
                <w:szCs w:val="24"/>
                <w:highlight w:val="yellow"/>
                <w:lang w:val="en-US" w:eastAsia="zh-CN"/>
              </w:rPr>
              <w:t>计83757.00</w:t>
            </w:r>
            <w:r>
              <w:rPr>
                <w:rFonts w:hint="eastAsia" w:ascii="仿宋" w:hAnsi="仿宋" w:eastAsia="仿宋" w:cs="仿宋"/>
                <w:sz w:val="24"/>
                <w:szCs w:val="24"/>
                <w:highlight w:val="yellow"/>
              </w:rPr>
              <w:t>㎡。</w:t>
            </w:r>
          </w:p>
          <w:p w14:paraId="77054917">
            <w:pPr>
              <w:tabs>
                <w:tab w:val="left" w:pos="851"/>
              </w:tabs>
              <w:autoSpaceDE w:val="0"/>
              <w:autoSpaceDN w:val="0"/>
              <w:adjustRightInd w:val="0"/>
              <w:snapToGrid w:val="0"/>
              <w:outlineLvl w:val="2"/>
              <w:rPr>
                <w:rFonts w:hint="eastAsia" w:ascii="仿宋" w:hAnsi="仿宋" w:eastAsia="仿宋" w:cs="仿宋"/>
                <w:b/>
                <w:sz w:val="24"/>
                <w:szCs w:val="24"/>
                <w:lang w:val="zh-CN"/>
              </w:rPr>
            </w:pPr>
            <w:bookmarkStart w:id="2" w:name="_Toc19025"/>
            <w:r>
              <w:rPr>
                <w:rFonts w:hint="eastAsia" w:ascii="仿宋" w:hAnsi="仿宋" w:eastAsia="仿宋" w:cs="仿宋"/>
                <w:b/>
                <w:sz w:val="24"/>
                <w:szCs w:val="24"/>
                <w:lang w:val="zh-CN"/>
              </w:rPr>
              <w:t>二、资格要求</w:t>
            </w:r>
          </w:p>
          <w:p w14:paraId="557CF3B7">
            <w:pPr>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（一）具有独立承担民事责任的能力。</w:t>
            </w:r>
          </w:p>
          <w:p w14:paraId="3BF98B0C">
            <w:pPr>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（二）具备由国家认证认可监督管理委员会监制， 在中华人民共和国境内有效的检验检测机构资质认定证书，可以向社会出具具有证明作用的数据和结果。 </w:t>
            </w:r>
          </w:p>
          <w:p w14:paraId="0E189BE1">
            <w:pPr>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（三）具备在市级以上房屋行政主管部门办理房屋使用安全鉴定备案手续（提供相关技术及备案证明文件复印件，并加盖公章）。</w:t>
            </w:r>
          </w:p>
          <w:p w14:paraId="390C6A89">
            <w:pPr>
              <w:pStyle w:val="7"/>
              <w:shd w:val="clear" w:color="auto" w:fill="FFFFFF"/>
              <w:spacing w:before="0" w:beforeAutospacing="0" w:after="0" w:afterAutospacing="0"/>
              <w:ind w:firstLine="480" w:firstLineChars="200"/>
              <w:rPr>
                <w:rFonts w:hint="eastAsia" w:ascii="仿宋" w:hAnsi="仿宋" w:eastAsia="仿宋" w:cs="仿宋"/>
                <w:bCs/>
                <w:sz w:val="24"/>
                <w:szCs w:val="24"/>
                <w:lang w:val="zh-CN"/>
              </w:rPr>
            </w:pPr>
            <w:r>
              <w:rPr>
                <w:rFonts w:hint="eastAsia" w:ascii="仿宋" w:hAnsi="仿宋" w:eastAsia="仿宋" w:cs="仿宋"/>
                <w:sz w:val="24"/>
                <w:szCs w:val="24"/>
                <w:lang w:val="zh-CN"/>
              </w:rPr>
              <w:t>（四）</w:t>
            </w:r>
            <w:r>
              <w:rPr>
                <w:rFonts w:hint="eastAsia" w:ascii="仿宋" w:hAnsi="仿宋" w:eastAsia="仿宋" w:cs="仿宋"/>
                <w:bCs/>
                <w:sz w:val="24"/>
                <w:szCs w:val="24"/>
                <w:lang w:val="zh-CN"/>
              </w:rPr>
              <w:t>本项目不接受联合体投标。</w:t>
            </w:r>
          </w:p>
          <w:p w14:paraId="17D528AD">
            <w:pPr>
              <w:tabs>
                <w:tab w:val="left" w:pos="851"/>
              </w:tabs>
              <w:autoSpaceDE w:val="0"/>
              <w:autoSpaceDN w:val="0"/>
              <w:adjustRightInd w:val="0"/>
              <w:snapToGrid w:val="0"/>
              <w:outlineLvl w:val="2"/>
              <w:rPr>
                <w:rFonts w:hint="eastAsia" w:ascii="仿宋" w:hAnsi="仿宋" w:eastAsia="仿宋" w:cs="仿宋"/>
                <w:b/>
                <w:sz w:val="24"/>
                <w:szCs w:val="24"/>
              </w:rPr>
            </w:pPr>
            <w:r>
              <w:rPr>
                <w:rFonts w:hint="eastAsia" w:ascii="仿宋" w:hAnsi="仿宋" w:eastAsia="仿宋" w:cs="仿宋"/>
                <w:b/>
                <w:sz w:val="24"/>
                <w:szCs w:val="24"/>
              </w:rPr>
              <w:t>三、服务周期及采购范围：</w:t>
            </w:r>
            <w:bookmarkEnd w:id="2"/>
          </w:p>
          <w:p w14:paraId="4AA4B3C6">
            <w:pPr>
              <w:pStyle w:val="2"/>
              <w:ind w:firstLine="480" w:firstLineChars="200"/>
              <w:jc w:val="left"/>
              <w:rPr>
                <w:rFonts w:hint="eastAsia" w:ascii="仿宋" w:hAnsi="仿宋" w:eastAsia="仿宋" w:cs="仿宋"/>
                <w:kern w:val="2"/>
                <w:sz w:val="24"/>
                <w:szCs w:val="24"/>
                <w:u w:val="single"/>
              </w:rPr>
            </w:pPr>
            <w:r>
              <w:rPr>
                <w:rFonts w:hint="eastAsia" w:ascii="仿宋" w:hAnsi="仿宋" w:eastAsia="仿宋" w:cs="仿宋"/>
                <w:kern w:val="2"/>
                <w:sz w:val="24"/>
                <w:szCs w:val="24"/>
              </w:rPr>
              <w:t>本项目</w:t>
            </w:r>
            <w:r>
              <w:rPr>
                <w:rFonts w:hint="eastAsia" w:ascii="仿宋" w:hAnsi="仿宋" w:eastAsia="仿宋" w:cs="仿宋"/>
                <w:sz w:val="24"/>
                <w:szCs w:val="24"/>
                <w:lang w:val="zh-CN"/>
              </w:rPr>
              <w:t>建筑物可靠性鉴定</w:t>
            </w:r>
            <w:r>
              <w:rPr>
                <w:rFonts w:hint="eastAsia" w:ascii="仿宋" w:hAnsi="仿宋" w:eastAsia="仿宋" w:cs="仿宋"/>
                <w:kern w:val="2"/>
                <w:sz w:val="24"/>
                <w:szCs w:val="24"/>
              </w:rPr>
              <w:t>服务自合同签订之日起开始实施，</w:t>
            </w:r>
            <w:r>
              <w:rPr>
                <w:rFonts w:hint="eastAsia" w:ascii="仿宋" w:hAnsi="仿宋" w:eastAsia="仿宋" w:cs="仿宋"/>
                <w:kern w:val="2"/>
                <w:sz w:val="24"/>
                <w:szCs w:val="24"/>
                <w:u w:val="single"/>
                <w:lang w:val="en-US" w:eastAsia="zh-CN"/>
              </w:rPr>
              <w:t>4</w:t>
            </w:r>
            <w:r>
              <w:rPr>
                <w:rFonts w:hint="eastAsia" w:ascii="仿宋" w:hAnsi="仿宋" w:eastAsia="仿宋" w:cs="仿宋"/>
                <w:kern w:val="2"/>
                <w:sz w:val="24"/>
                <w:szCs w:val="24"/>
                <w:u w:val="single"/>
              </w:rPr>
              <w:t>0</w:t>
            </w:r>
            <w:r>
              <w:rPr>
                <w:rFonts w:hint="eastAsia" w:ascii="仿宋" w:hAnsi="仿宋" w:eastAsia="仿宋" w:cs="仿宋"/>
                <w:kern w:val="2"/>
                <w:sz w:val="24"/>
                <w:szCs w:val="24"/>
              </w:rPr>
              <w:t>个工作日内完成</w:t>
            </w:r>
            <w:r>
              <w:rPr>
                <w:rFonts w:hint="eastAsia" w:ascii="仿宋" w:hAnsi="仿宋" w:eastAsia="仿宋" w:cs="仿宋"/>
                <w:kern w:val="2"/>
                <w:sz w:val="24"/>
                <w:szCs w:val="24"/>
                <w:lang w:val="en-US" w:eastAsia="zh-CN"/>
              </w:rPr>
              <w:t>现场鉴定工作及出具书面报告，</w:t>
            </w:r>
            <w:r>
              <w:rPr>
                <w:rFonts w:hint="eastAsia" w:ascii="仿宋" w:hAnsi="仿宋" w:eastAsia="仿宋" w:cs="仿宋"/>
                <w:sz w:val="24"/>
                <w:szCs w:val="24"/>
              </w:rPr>
              <w:t>纸质报告</w:t>
            </w:r>
            <w:r>
              <w:rPr>
                <w:rFonts w:hint="eastAsia" w:ascii="仿宋" w:hAnsi="仿宋" w:eastAsia="仿宋" w:cs="仿宋"/>
                <w:sz w:val="24"/>
                <w:szCs w:val="24"/>
                <w:lang w:val="en-US" w:eastAsia="zh-CN"/>
              </w:rPr>
              <w:t>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份，电子版</w:t>
            </w:r>
            <w:r>
              <w:rPr>
                <w:rFonts w:hint="eastAsia" w:ascii="仿宋" w:hAnsi="仿宋" w:eastAsia="仿宋" w:cs="仿宋"/>
                <w:sz w:val="24"/>
                <w:szCs w:val="24"/>
                <w:u w:val="single"/>
              </w:rPr>
              <w:t>1</w:t>
            </w:r>
            <w:r>
              <w:rPr>
                <w:rFonts w:hint="eastAsia" w:ascii="仿宋" w:hAnsi="仿宋" w:eastAsia="仿宋" w:cs="仿宋"/>
                <w:sz w:val="24"/>
                <w:szCs w:val="24"/>
              </w:rPr>
              <w:t>份。</w:t>
            </w:r>
          </w:p>
          <w:p w14:paraId="0B105B7B">
            <w:pPr>
              <w:tabs>
                <w:tab w:val="left" w:pos="851"/>
              </w:tabs>
              <w:autoSpaceDE w:val="0"/>
              <w:autoSpaceDN w:val="0"/>
              <w:adjustRightInd w:val="0"/>
              <w:snapToGrid w:val="0"/>
              <w:outlineLvl w:val="2"/>
              <w:rPr>
                <w:rFonts w:hint="eastAsia" w:ascii="仿宋" w:hAnsi="仿宋" w:eastAsia="仿宋" w:cs="仿宋"/>
                <w:b/>
                <w:bCs/>
                <w:sz w:val="24"/>
                <w:szCs w:val="24"/>
                <w:lang w:eastAsia="zh-CN"/>
              </w:rPr>
            </w:pPr>
            <w:r>
              <w:rPr>
                <w:rFonts w:hint="eastAsia" w:ascii="仿宋" w:hAnsi="仿宋" w:eastAsia="仿宋" w:cs="仿宋"/>
                <w:b/>
                <w:bCs/>
                <w:sz w:val="24"/>
                <w:szCs w:val="24"/>
              </w:rPr>
              <w:t>四、服务内容</w:t>
            </w:r>
          </w:p>
          <w:p w14:paraId="2922C099">
            <w:pPr>
              <w:tabs>
                <w:tab w:val="left" w:pos="851"/>
              </w:tabs>
              <w:autoSpaceDE w:val="0"/>
              <w:autoSpaceDN w:val="0"/>
              <w:adjustRightInd w:val="0"/>
              <w:snapToGrid w:val="0"/>
              <w:ind w:firstLine="480" w:firstLineChars="200"/>
              <w:outlineLvl w:val="2"/>
              <w:rPr>
                <w:rFonts w:hint="eastAsia" w:ascii="仿宋" w:hAnsi="仿宋" w:eastAsia="仿宋" w:cs="仿宋"/>
                <w:b/>
                <w:bCs/>
                <w:sz w:val="24"/>
                <w:szCs w:val="24"/>
              </w:rPr>
            </w:pPr>
            <w:r>
              <w:rPr>
                <w:rFonts w:hint="eastAsia" w:ascii="仿宋" w:hAnsi="仿宋" w:eastAsia="仿宋" w:cs="仿宋"/>
                <w:sz w:val="24"/>
                <w:szCs w:val="24"/>
              </w:rPr>
              <w:t>包括但不限于以下内容：</w:t>
            </w:r>
          </w:p>
          <w:p w14:paraId="240CB91A">
            <w:pPr>
              <w:pStyle w:val="21"/>
              <w:spacing w:line="240" w:lineRule="auto"/>
              <w:ind w:firstLine="480" w:firstLineChars="20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eastAsia="zh-CN" w:bidi="ar-SA"/>
              </w:rPr>
              <w:t>（</w:t>
            </w:r>
            <w:r>
              <w:rPr>
                <w:rFonts w:hint="eastAsia" w:ascii="仿宋" w:hAnsi="仿宋" w:eastAsia="仿宋" w:cs="仿宋"/>
                <w:kern w:val="0"/>
                <w:sz w:val="24"/>
                <w:szCs w:val="24"/>
                <w:lang w:val="en-US" w:eastAsia="zh-CN" w:bidi="ar-SA"/>
              </w:rPr>
              <w:t>一</w:t>
            </w:r>
            <w:r>
              <w:rPr>
                <w:rFonts w:hint="eastAsia" w:ascii="仿宋" w:hAnsi="仿宋" w:eastAsia="仿宋" w:cs="仿宋"/>
                <w:kern w:val="0"/>
                <w:sz w:val="24"/>
                <w:szCs w:val="24"/>
                <w:lang w:val="zh-CN" w:eastAsia="zh-CN" w:bidi="ar-SA"/>
              </w:rPr>
              <w:t>）</w:t>
            </w:r>
            <w:r>
              <w:rPr>
                <w:rFonts w:hint="eastAsia" w:ascii="仿宋" w:hAnsi="仿宋" w:eastAsia="仿宋" w:cs="仿宋"/>
                <w:sz w:val="24"/>
                <w:szCs w:val="24"/>
                <w:lang w:val="en-US" w:eastAsia="zh-CN"/>
              </w:rPr>
              <w:t>供应商提供现场检测服务方案及相应的安全作业管理方案（如安全防护措施等）。</w:t>
            </w:r>
          </w:p>
          <w:p w14:paraId="284C31F1">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kern w:val="0"/>
                <w:sz w:val="24"/>
                <w:szCs w:val="24"/>
                <w:lang w:val="zh-CN" w:eastAsia="zh-CN" w:bidi="ar-SA"/>
              </w:rPr>
              <w:t>（</w:t>
            </w:r>
            <w:r>
              <w:rPr>
                <w:rFonts w:hint="eastAsia" w:ascii="仿宋" w:hAnsi="仿宋" w:eastAsia="仿宋" w:cs="仿宋"/>
                <w:kern w:val="0"/>
                <w:sz w:val="24"/>
                <w:szCs w:val="24"/>
                <w:lang w:val="en-US" w:eastAsia="zh-CN" w:bidi="ar-SA"/>
              </w:rPr>
              <w:t>二</w:t>
            </w:r>
            <w:r>
              <w:rPr>
                <w:rFonts w:hint="eastAsia" w:ascii="仿宋" w:hAnsi="仿宋" w:eastAsia="仿宋" w:cs="仿宋"/>
                <w:kern w:val="0"/>
                <w:sz w:val="24"/>
                <w:szCs w:val="24"/>
                <w:lang w:val="zh-CN" w:eastAsia="zh-CN" w:bidi="ar-SA"/>
              </w:rPr>
              <w:t>）</w:t>
            </w:r>
            <w:r>
              <w:rPr>
                <w:rFonts w:hint="eastAsia" w:ascii="仿宋" w:hAnsi="仿宋" w:eastAsia="仿宋" w:cs="仿宋"/>
                <w:sz w:val="24"/>
                <w:szCs w:val="24"/>
                <w:lang w:val="en-US" w:eastAsia="zh-CN"/>
              </w:rPr>
              <w:t>经业主同意服务方案后进场完成现场检测鉴定工作，具体内容及抽样数量要求：</w:t>
            </w:r>
          </w:p>
          <w:p w14:paraId="231F6044">
            <w:pPr>
              <w:pStyle w:val="21"/>
              <w:spacing w:line="24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1.具体内容：</w:t>
            </w:r>
          </w:p>
          <w:p w14:paraId="3D1D34E3">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（1）调查了解房屋的设计意图、要求和技术背景，查明房屋的建筑年代、结构构造、结构布置情况及现有使用情况；</w:t>
            </w:r>
          </w:p>
          <w:p w14:paraId="01C950CB">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（2）查明房屋目前是否出现损坏现象，如沉降、倾斜、位移、裂缝、损坏、局部变形、室内外装饰完好程度等，详细记录，并拍照留底；</w:t>
            </w:r>
          </w:p>
          <w:p w14:paraId="051B6063">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（3）对房屋整体的现场构造布置进行检测复核； </w:t>
            </w:r>
          </w:p>
          <w:p w14:paraId="125CB9FF">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（4）对房屋的整体垂直变形情况、构件挠度变形进行测量，判断是否满足国家规范要求，结合上部主体结构的数据情况判断房屋地基基础是否正常稳定；</w:t>
            </w:r>
          </w:p>
          <w:p w14:paraId="045E9ED7">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检测整体房屋的混凝土构件的混凝土强度（钻芯法）、钢筋布置情况（包括柱、梁主筋数量及直径，板筋间距及直径）、钢筋保护层厚度、墙体砌块、砂浆强度等是否满足设计要求、国家规范要求及后期的使用要求；</w:t>
            </w:r>
          </w:p>
          <w:p w14:paraId="729B9DE0">
            <w:pPr>
              <w:pStyle w:val="21"/>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（6）查明建筑物的抗震构造情况，依据国家规范标准及现场实际检测数据参数，结合相关荷载资料、《民用建筑可靠性鉴定标准》（GB 50292-2015））及《建筑抗震鉴定标准》（GB 50023-2009）等对主体结构承载能力及抗震性能进行验算，评定是否满足设计要求、国家规范要求及后期的使用要求，结合各项数据指标分析论证，对既有建筑结构的可靠性程度进行评估，对存在的问题提出合理的处理建议。）</w:t>
            </w:r>
          </w:p>
          <w:p w14:paraId="29EF049D">
            <w:pPr>
              <w:pStyle w:val="21"/>
              <w:spacing w:line="240" w:lineRule="auto"/>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2.抽样数量：</w:t>
            </w:r>
          </w:p>
          <w:p w14:paraId="5814CE04">
            <w:pPr>
              <w:pStyle w:val="21"/>
              <w:spacing w:line="24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应参照国家相关规范、标准的相关规定，本工程应进行随机抽样，且最小样本容量应符合《建筑结构检测技术标准》中</w:t>
            </w:r>
            <w:r>
              <w:rPr>
                <w:rFonts w:hint="eastAsia" w:ascii="仿宋" w:hAnsi="仿宋" w:eastAsia="仿宋" w:cs="仿宋"/>
                <w:b/>
                <w:bCs/>
                <w:sz w:val="24"/>
                <w:szCs w:val="24"/>
                <w:lang w:val="en-US" w:eastAsia="zh-CN"/>
              </w:rPr>
              <w:t>B</w:t>
            </w:r>
            <w:r>
              <w:rPr>
                <w:rFonts w:hint="eastAsia" w:ascii="仿宋" w:hAnsi="仿宋" w:eastAsia="仿宋" w:cs="仿宋"/>
                <w:b/>
                <w:bCs/>
                <w:sz w:val="24"/>
                <w:szCs w:val="24"/>
                <w:lang w:eastAsia="zh-CN"/>
              </w:rPr>
              <w:t>类标准</w:t>
            </w:r>
            <w:r>
              <w:rPr>
                <w:rFonts w:hint="eastAsia" w:ascii="仿宋" w:hAnsi="仿宋" w:eastAsia="仿宋" w:cs="仿宋"/>
                <w:sz w:val="24"/>
                <w:szCs w:val="24"/>
                <w:lang w:eastAsia="zh-CN"/>
              </w:rPr>
              <w:t>。</w:t>
            </w:r>
          </w:p>
          <w:p w14:paraId="71D2682C">
            <w:pPr>
              <w:pStyle w:val="21"/>
              <w:spacing w:line="240" w:lineRule="auto"/>
              <w:ind w:firstLine="480" w:firstLineChars="200"/>
              <w:jc w:val="left"/>
              <w:rPr>
                <w:rFonts w:hint="eastAsia" w:ascii="仿宋" w:hAnsi="仿宋" w:eastAsia="仿宋" w:cs="仿宋"/>
                <w:kern w:val="0"/>
                <w:sz w:val="24"/>
                <w:szCs w:val="24"/>
                <w:lang w:val="zh-CN" w:eastAsia="zh-CN" w:bidi="ar-SA"/>
              </w:rPr>
            </w:pPr>
            <w:r>
              <w:rPr>
                <w:rFonts w:hint="eastAsia" w:ascii="仿宋" w:hAnsi="仿宋" w:eastAsia="仿宋" w:cs="仿宋"/>
                <w:sz w:val="24"/>
                <w:szCs w:val="24"/>
                <w:lang w:val="en-US" w:eastAsia="zh-CN"/>
              </w:rPr>
              <w:t>（三）根据检测数据</w:t>
            </w:r>
            <w:r>
              <w:rPr>
                <w:rFonts w:hint="eastAsia" w:ascii="仿宋" w:hAnsi="仿宋" w:eastAsia="仿宋" w:cs="仿宋"/>
                <w:sz w:val="24"/>
                <w:szCs w:val="24"/>
              </w:rPr>
              <w:t>出具</w:t>
            </w:r>
            <w:r>
              <w:rPr>
                <w:rFonts w:hint="eastAsia" w:ascii="仿宋" w:hAnsi="仿宋" w:eastAsia="仿宋" w:cs="仿宋"/>
                <w:sz w:val="24"/>
                <w:szCs w:val="24"/>
                <w:highlight w:val="yellow"/>
                <w:lang w:val="en-US" w:eastAsia="zh-CN"/>
              </w:rPr>
              <w:t>11</w:t>
            </w:r>
            <w:r>
              <w:rPr>
                <w:rFonts w:hint="eastAsia" w:ascii="仿宋" w:hAnsi="仿宋" w:eastAsia="仿宋" w:cs="仿宋"/>
                <w:sz w:val="24"/>
                <w:szCs w:val="24"/>
                <w:highlight w:val="yellow"/>
                <w:lang w:eastAsia="zh-CN"/>
              </w:rPr>
              <w:t>幢</w:t>
            </w:r>
            <w:r>
              <w:rPr>
                <w:rFonts w:hint="eastAsia" w:ascii="仿宋" w:hAnsi="仿宋" w:eastAsia="仿宋" w:cs="仿宋"/>
                <w:sz w:val="24"/>
                <w:szCs w:val="24"/>
                <w:lang w:eastAsia="zh-CN"/>
              </w:rPr>
              <w:t>的</w:t>
            </w:r>
            <w:r>
              <w:rPr>
                <w:rFonts w:hint="eastAsia" w:ascii="仿宋" w:hAnsi="仿宋" w:eastAsia="仿宋" w:cs="仿宋"/>
                <w:sz w:val="24"/>
                <w:szCs w:val="24"/>
              </w:rPr>
              <w:t>建筑物可靠性鉴定报告</w:t>
            </w:r>
            <w:r>
              <w:rPr>
                <w:rFonts w:hint="eastAsia" w:ascii="仿宋" w:hAnsi="仿宋" w:eastAsia="仿宋" w:cs="仿宋"/>
                <w:sz w:val="24"/>
                <w:szCs w:val="24"/>
                <w:lang w:eastAsia="zh-CN"/>
              </w:rPr>
              <w:t>。</w:t>
            </w:r>
          </w:p>
          <w:p w14:paraId="0D25134C">
            <w:pPr>
              <w:pStyle w:val="21"/>
              <w:spacing w:line="240" w:lineRule="auto"/>
              <w:jc w:val="left"/>
              <w:rPr>
                <w:rFonts w:hint="eastAsia" w:ascii="仿宋" w:hAnsi="仿宋" w:eastAsia="仿宋" w:cs="仿宋"/>
                <w:b/>
                <w:kern w:val="0"/>
                <w:sz w:val="24"/>
                <w:szCs w:val="24"/>
                <w:lang w:val="zh-CN" w:eastAsia="zh-CN" w:bidi="ar-SA"/>
              </w:rPr>
            </w:pPr>
            <w:r>
              <w:rPr>
                <w:rFonts w:hint="eastAsia" w:ascii="仿宋" w:hAnsi="仿宋" w:eastAsia="仿宋" w:cs="仿宋"/>
                <w:b/>
                <w:kern w:val="0"/>
                <w:sz w:val="24"/>
                <w:szCs w:val="24"/>
                <w:lang w:val="zh-CN" w:eastAsia="zh-CN" w:bidi="ar-SA"/>
              </w:rPr>
              <w:t>五、验收</w:t>
            </w:r>
          </w:p>
          <w:p w14:paraId="7C304169">
            <w:pPr>
              <w:pStyle w:val="21"/>
              <w:spacing w:line="240" w:lineRule="auto"/>
              <w:ind w:firstLine="480" w:firstLineChars="200"/>
              <w:jc w:val="left"/>
              <w:rPr>
                <w:rFonts w:hint="eastAsia" w:ascii="仿宋" w:hAnsi="仿宋" w:eastAsia="仿宋" w:cs="仿宋"/>
                <w:kern w:val="0"/>
                <w:sz w:val="24"/>
                <w:szCs w:val="24"/>
                <w:lang w:val="zh-CN" w:eastAsia="zh-CN" w:bidi="ar-SA"/>
              </w:rPr>
            </w:pPr>
            <w:r>
              <w:rPr>
                <w:rFonts w:hint="eastAsia" w:ascii="仿宋" w:hAnsi="仿宋" w:eastAsia="仿宋" w:cs="仿宋"/>
                <w:kern w:val="0"/>
                <w:sz w:val="24"/>
                <w:szCs w:val="24"/>
                <w:lang w:val="zh-CN" w:eastAsia="zh-CN" w:bidi="ar-SA"/>
              </w:rPr>
              <w:t>（</w:t>
            </w:r>
            <w:r>
              <w:rPr>
                <w:rFonts w:hint="eastAsia" w:ascii="仿宋" w:hAnsi="仿宋" w:eastAsia="仿宋" w:cs="仿宋"/>
                <w:kern w:val="0"/>
                <w:sz w:val="24"/>
                <w:szCs w:val="24"/>
                <w:lang w:val="en-US" w:eastAsia="zh-CN" w:bidi="ar-SA"/>
              </w:rPr>
              <w:t>一</w:t>
            </w:r>
            <w:r>
              <w:rPr>
                <w:rFonts w:hint="eastAsia" w:ascii="仿宋" w:hAnsi="仿宋" w:eastAsia="仿宋" w:cs="仿宋"/>
                <w:kern w:val="0"/>
                <w:sz w:val="24"/>
                <w:szCs w:val="24"/>
                <w:lang w:val="zh-CN" w:eastAsia="zh-CN" w:bidi="ar-SA"/>
              </w:rPr>
              <w:t>）验收标准：《民用建筑可靠性鉴定标准》、《混凝土结构加固设计规范》等。</w:t>
            </w:r>
          </w:p>
          <w:p w14:paraId="0B78D15A">
            <w:pPr>
              <w:pStyle w:val="21"/>
              <w:spacing w:line="24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若业主方依据国家省市相关规定认为鉴定成果不符合国家法律法规、行业相关技术规范要求，中选人应无条件、依法依规及时修改。</w:t>
            </w:r>
          </w:p>
        </w:tc>
      </w:tr>
    </w:tbl>
    <w:p w14:paraId="19D3B648">
      <w:pPr>
        <w:spacing w:line="360" w:lineRule="auto"/>
        <w:jc w:val="both"/>
        <w:rPr>
          <w:rFonts w:hint="eastAsia" w:ascii="仿宋" w:hAnsi="仿宋" w:eastAsia="仿宋" w:cs="仿宋"/>
          <w:sz w:val="28"/>
          <w:szCs w:val="28"/>
          <w:lang w:eastAsia="zh-CN"/>
        </w:rPr>
      </w:pPr>
    </w:p>
    <w:sectPr>
      <w:headerReference r:id="rId5" w:type="default"/>
      <w:pgSz w:w="11906" w:h="16838"/>
      <w:pgMar w:top="397" w:right="720" w:bottom="720" w:left="72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6DBA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38E40FC"/>
    <w:rsid w:val="042D4C6A"/>
    <w:rsid w:val="057F0F25"/>
    <w:rsid w:val="06B5618C"/>
    <w:rsid w:val="06D719AF"/>
    <w:rsid w:val="0A5E508E"/>
    <w:rsid w:val="0C9D33BF"/>
    <w:rsid w:val="0D0061A3"/>
    <w:rsid w:val="0D807235"/>
    <w:rsid w:val="11D66924"/>
    <w:rsid w:val="179940A7"/>
    <w:rsid w:val="180E3E85"/>
    <w:rsid w:val="1A744BDA"/>
    <w:rsid w:val="1ABB394F"/>
    <w:rsid w:val="1AE31246"/>
    <w:rsid w:val="1D1A5244"/>
    <w:rsid w:val="1F390CCB"/>
    <w:rsid w:val="206A35BB"/>
    <w:rsid w:val="233F4DD2"/>
    <w:rsid w:val="24F41145"/>
    <w:rsid w:val="2534229A"/>
    <w:rsid w:val="27B133B2"/>
    <w:rsid w:val="28E26223"/>
    <w:rsid w:val="2B000060"/>
    <w:rsid w:val="2BCF7C50"/>
    <w:rsid w:val="2BE354EA"/>
    <w:rsid w:val="2C705771"/>
    <w:rsid w:val="2DC22B6D"/>
    <w:rsid w:val="32A468A4"/>
    <w:rsid w:val="32D84B0D"/>
    <w:rsid w:val="33726772"/>
    <w:rsid w:val="33B46410"/>
    <w:rsid w:val="34A30568"/>
    <w:rsid w:val="36460105"/>
    <w:rsid w:val="36874238"/>
    <w:rsid w:val="36B32A2D"/>
    <w:rsid w:val="3767104F"/>
    <w:rsid w:val="38CF61B7"/>
    <w:rsid w:val="396E39C4"/>
    <w:rsid w:val="3A123B28"/>
    <w:rsid w:val="3A4947CB"/>
    <w:rsid w:val="3BCE2815"/>
    <w:rsid w:val="3C145597"/>
    <w:rsid w:val="3D6478CA"/>
    <w:rsid w:val="3DF96FCF"/>
    <w:rsid w:val="3F0A03C3"/>
    <w:rsid w:val="3F5063F4"/>
    <w:rsid w:val="426E42CC"/>
    <w:rsid w:val="427F04C0"/>
    <w:rsid w:val="4354705B"/>
    <w:rsid w:val="44860CB0"/>
    <w:rsid w:val="4494718F"/>
    <w:rsid w:val="4537221B"/>
    <w:rsid w:val="461436E5"/>
    <w:rsid w:val="47740534"/>
    <w:rsid w:val="47A14C13"/>
    <w:rsid w:val="47DC75E8"/>
    <w:rsid w:val="4A1B2BB6"/>
    <w:rsid w:val="4A346EA6"/>
    <w:rsid w:val="4DD53C5B"/>
    <w:rsid w:val="4F2D30F6"/>
    <w:rsid w:val="53C6008F"/>
    <w:rsid w:val="547A25EB"/>
    <w:rsid w:val="55C86D3F"/>
    <w:rsid w:val="561D1665"/>
    <w:rsid w:val="595A00BE"/>
    <w:rsid w:val="5A3A5B90"/>
    <w:rsid w:val="5AAA72D0"/>
    <w:rsid w:val="5CD135E5"/>
    <w:rsid w:val="5D4C079D"/>
    <w:rsid w:val="5E53182A"/>
    <w:rsid w:val="5F58537A"/>
    <w:rsid w:val="5F6029BF"/>
    <w:rsid w:val="611E1E8D"/>
    <w:rsid w:val="61B61193"/>
    <w:rsid w:val="63DA7735"/>
    <w:rsid w:val="64B70CC9"/>
    <w:rsid w:val="64E0786C"/>
    <w:rsid w:val="65580E23"/>
    <w:rsid w:val="65D514A1"/>
    <w:rsid w:val="67184FB0"/>
    <w:rsid w:val="673832E7"/>
    <w:rsid w:val="68491692"/>
    <w:rsid w:val="688372CC"/>
    <w:rsid w:val="6A040E7B"/>
    <w:rsid w:val="6A5A1F56"/>
    <w:rsid w:val="6ADC6960"/>
    <w:rsid w:val="6B58392D"/>
    <w:rsid w:val="6C9A192D"/>
    <w:rsid w:val="6F86292D"/>
    <w:rsid w:val="70D20BB0"/>
    <w:rsid w:val="725E6AB2"/>
    <w:rsid w:val="72FA0C86"/>
    <w:rsid w:val="74F457F1"/>
    <w:rsid w:val="755638C8"/>
    <w:rsid w:val="772769E5"/>
    <w:rsid w:val="77537E43"/>
    <w:rsid w:val="7B0D056F"/>
    <w:rsid w:val="7E477DBC"/>
    <w:rsid w:val="7EB4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kern w:val="0"/>
      <w:sz w:val="24"/>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alloon Text"/>
    <w:basedOn w:val="1"/>
    <w:link w:val="20"/>
    <w:uiPriority w:val="0"/>
    <w:pPr>
      <w:spacing w:line="240" w:lineRule="auto"/>
    </w:pPr>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000000"/>
      <w:u w:val="none"/>
    </w:rPr>
  </w:style>
  <w:style w:type="character" w:styleId="13">
    <w:name w:val="Hyperlink"/>
    <w:basedOn w:val="10"/>
    <w:uiPriority w:val="0"/>
    <w:rPr>
      <w:color w:val="000000"/>
      <w:u w:val="none"/>
    </w:rPr>
  </w:style>
  <w:style w:type="character" w:customStyle="1" w:styleId="14">
    <w:name w:val="hover"/>
    <w:basedOn w:val="10"/>
    <w:qFormat/>
    <w:uiPriority w:val="0"/>
  </w:style>
  <w:style w:type="character" w:customStyle="1" w:styleId="15">
    <w:name w:val="hover37"/>
    <w:basedOn w:val="10"/>
    <w:uiPriority w:val="0"/>
  </w:style>
  <w:style w:type="character" w:customStyle="1" w:styleId="16">
    <w:name w:val="hover36"/>
    <w:basedOn w:val="10"/>
    <w:qFormat/>
    <w:uiPriority w:val="0"/>
  </w:style>
  <w:style w:type="character" w:customStyle="1" w:styleId="17">
    <w:name w:val="times"/>
    <w:basedOn w:val="10"/>
    <w:qFormat/>
    <w:uiPriority w:val="0"/>
    <w:rPr>
      <w:color w:val="3399FF"/>
      <w:bdr w:val="single" w:color="D1EDF8" w:sz="6" w:space="0"/>
      <w:shd w:val="clear" w:color="auto" w:fill="EAF9FF"/>
    </w:rPr>
  </w:style>
  <w:style w:type="character" w:customStyle="1" w:styleId="18">
    <w:name w:val="times1"/>
    <w:basedOn w:val="10"/>
    <w:uiPriority w:val="0"/>
    <w:rPr>
      <w:color w:val="CDCDCD"/>
      <w:bdr w:val="single" w:color="CDCDCD" w:sz="6" w:space="0"/>
      <w:shd w:val="clear" w:color="auto" w:fill="EFEFEF"/>
    </w:rPr>
  </w:style>
  <w:style w:type="paragraph" w:customStyle="1" w:styleId="19">
    <w:name w:val="默认段落字体 Para Char"/>
    <w:basedOn w:val="1"/>
    <w:qFormat/>
    <w:uiPriority w:val="0"/>
    <w:pPr>
      <w:spacing w:line="360" w:lineRule="auto"/>
      <w:jc w:val="left"/>
    </w:pPr>
    <w:rPr>
      <w:rFonts w:eastAsia="仿宋_GB2312"/>
      <w:b/>
    </w:rPr>
  </w:style>
  <w:style w:type="character" w:customStyle="1" w:styleId="20">
    <w:name w:val="批注框文本 Char"/>
    <w:basedOn w:val="10"/>
    <w:link w:val="4"/>
    <w:qFormat/>
    <w:uiPriority w:val="0"/>
    <w:rPr>
      <w:kern w:val="2"/>
      <w:sz w:val="18"/>
      <w:szCs w:val="18"/>
    </w:rPr>
  </w:style>
  <w:style w:type="paragraph" w:customStyle="1" w:styleId="21">
    <w:name w:val="Other|1"/>
    <w:basedOn w:val="1"/>
    <w:qFormat/>
    <w:uiPriority w:val="0"/>
    <w:pPr>
      <w:spacing w:line="622" w:lineRule="exact"/>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2536</Words>
  <Characters>2645</Characters>
  <Lines>10</Lines>
  <Paragraphs>3</Paragraphs>
  <TotalTime>7</TotalTime>
  <ScaleCrop>false</ScaleCrop>
  <LinksUpToDate>false</LinksUpToDate>
  <CharactersWithSpaces>2692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gerrard213a</cp:lastModifiedBy>
  <cp:lastPrinted>2021-02-19T02:34:00Z</cp:lastPrinted>
  <dcterms:modified xsi:type="dcterms:W3CDTF">2024-09-19T04:00:24Z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5CC794DF9EE342859014107B681180B5</vt:lpwstr>
  </property>
</Properties>
</file>